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322FB" w14:textId="77777777" w:rsidR="00E809A6" w:rsidRPr="00E809A6" w:rsidRDefault="00E809A6" w:rsidP="00E809A6">
      <w:pPr>
        <w:spacing w:after="0"/>
        <w:rPr>
          <w:b/>
          <w:bCs/>
          <w:sz w:val="32"/>
          <w:szCs w:val="40"/>
        </w:rPr>
      </w:pPr>
      <w:r>
        <w:rPr>
          <w:b/>
          <w:bCs/>
          <w:sz w:val="28"/>
          <w:szCs w:val="36"/>
        </w:rPr>
        <w:t xml:space="preserve">                          </w:t>
      </w:r>
      <w:r w:rsidRPr="00E809A6">
        <w:rPr>
          <w:b/>
          <w:bCs/>
          <w:sz w:val="28"/>
          <w:szCs w:val="36"/>
        </w:rPr>
        <w:t>The 3rd Asia Oceania Regional IBBY Congress</w:t>
      </w:r>
    </w:p>
    <w:p w14:paraId="6D81DC1C" w14:textId="77777777" w:rsidR="00E809A6" w:rsidRPr="00D431AE" w:rsidRDefault="00E809A6" w:rsidP="00E809A6">
      <w:pPr>
        <w:spacing w:after="0" w:line="240" w:lineRule="auto"/>
        <w:jc w:val="center"/>
        <w:rPr>
          <w:sz w:val="24"/>
          <w:szCs w:val="32"/>
        </w:rPr>
      </w:pPr>
      <w:r w:rsidRPr="00D431AE">
        <w:rPr>
          <w:sz w:val="24"/>
          <w:szCs w:val="32"/>
        </w:rPr>
        <w:t>9-12 May 2017</w:t>
      </w:r>
    </w:p>
    <w:p w14:paraId="29E611B7" w14:textId="77777777" w:rsidR="00E809A6" w:rsidRPr="00D431AE" w:rsidRDefault="00E809A6" w:rsidP="00E809A6">
      <w:pPr>
        <w:spacing w:after="0" w:line="240" w:lineRule="auto"/>
        <w:jc w:val="center"/>
        <w:rPr>
          <w:sz w:val="24"/>
          <w:szCs w:val="32"/>
        </w:rPr>
      </w:pPr>
      <w:r w:rsidRPr="00D431AE">
        <w:rPr>
          <w:sz w:val="24"/>
          <w:szCs w:val="32"/>
        </w:rPr>
        <w:t>Bangkok, Thailand</w:t>
      </w:r>
    </w:p>
    <w:p w14:paraId="7A42508D" w14:textId="77777777" w:rsidR="00E809A6" w:rsidRDefault="00C73DD2" w:rsidP="00E809A6">
      <w:pPr>
        <w:spacing w:after="0" w:line="240" w:lineRule="auto"/>
        <w:jc w:val="center"/>
      </w:pPr>
      <w:hyperlink r:id="rId8" w:history="1">
        <w:r w:rsidR="00E809A6" w:rsidRPr="00CA44A9">
          <w:rPr>
            <w:rStyle w:val="Hyperlink"/>
          </w:rPr>
          <w:t>http://ibbyaoric2017.tkpark.or.th/</w:t>
        </w:r>
      </w:hyperlink>
    </w:p>
    <w:p w14:paraId="5D191E77" w14:textId="77777777" w:rsidR="00E809A6" w:rsidRPr="00D431AE" w:rsidRDefault="00E809A6" w:rsidP="00E809A6">
      <w:pPr>
        <w:spacing w:after="0" w:line="240" w:lineRule="auto"/>
        <w:jc w:val="center"/>
        <w:rPr>
          <w:sz w:val="24"/>
          <w:szCs w:val="32"/>
        </w:rPr>
      </w:pPr>
    </w:p>
    <w:p w14:paraId="27B2B524" w14:textId="77777777" w:rsidR="00E809A6" w:rsidRDefault="00E809A6" w:rsidP="00E809A6">
      <w:r>
        <w:t>The Thai section of IBBY - ThaIBBY- in partnership with Thailand Knowledge Park (TK park) are pleased to announce the launch of the 3rd Asia Oceania Regional IBBY Congress in Bangkok, Thailand, from May 9 -12, 2017.</w:t>
      </w:r>
    </w:p>
    <w:p w14:paraId="0DDBEDDD" w14:textId="77777777" w:rsidR="00E809A6" w:rsidRDefault="00E809A6" w:rsidP="00E809A6">
      <w:r>
        <w:t>This is the first time that the regional IBBY Congress is being held in Bangkok- the City of Angel.  "Read=Life: Children's Books in the Digital Age" is the theme of the congress to celebrate the essence of reading in the digital age.</w:t>
      </w:r>
    </w:p>
    <w:p w14:paraId="4940EB36" w14:textId="77777777" w:rsidR="00E809A6" w:rsidRDefault="00E809A6" w:rsidP="00E809A6">
      <w:r>
        <w:t xml:space="preserve">We’d like to invite specialists in children's literature, writers, illustrators, librarians, educators, storytellers and those children book lovers from all over the world to join the event. We believe Bangkok is the ideal congress venue in the heart of the ASEAN region with unique blend of history, culture and modern world capacity for everyone to enjoy.  </w:t>
      </w:r>
    </w:p>
    <w:p w14:paraId="5A8C4BBC" w14:textId="77777777" w:rsidR="00E809A6" w:rsidRPr="002E68FE" w:rsidRDefault="00E809A6" w:rsidP="00E809A6">
      <w:pPr>
        <w:rPr>
          <w:b/>
          <w:bCs/>
        </w:rPr>
      </w:pPr>
      <w:r w:rsidRPr="00D431AE">
        <w:rPr>
          <w:b/>
          <w:bCs/>
        </w:rPr>
        <w:t>Call for Papers</w:t>
      </w:r>
    </w:p>
    <w:p w14:paraId="53425253" w14:textId="77777777" w:rsidR="00E809A6" w:rsidRDefault="00E809A6" w:rsidP="00E809A6">
      <w:r>
        <w:t>The 3rd Asia Oceania Regional IBBY Congress is dedicated to the essence of reading in the digital age. We aim to provide a unique forum where children's literature enthusiasts can share and exchange their ideas and experiences.</w:t>
      </w:r>
    </w:p>
    <w:p w14:paraId="325D0AA0" w14:textId="77777777" w:rsidR="00E809A6" w:rsidRDefault="00E809A6" w:rsidP="00E809A6">
      <w:r>
        <w:t>The thematic focus of this call for papers is "Read=Life: Children's Books in the Digital Age". Within this context, this call invites children's literature researchers, librarians, practitioners, storytellers and other stakeholders to submit abstracts on the above theme and related aspects that include (but not limited to):</w:t>
      </w:r>
    </w:p>
    <w:p w14:paraId="366D791D" w14:textId="77777777" w:rsidR="00E809A6" w:rsidRPr="005153E8" w:rsidRDefault="00E809A6" w:rsidP="00E809A6">
      <w:pPr>
        <w:spacing w:after="0" w:line="240" w:lineRule="auto"/>
        <w:rPr>
          <w:sz w:val="24"/>
          <w:szCs w:val="32"/>
        </w:rPr>
      </w:pPr>
      <w:r w:rsidRPr="005153E8">
        <w:rPr>
          <w:sz w:val="24"/>
          <w:szCs w:val="32"/>
        </w:rPr>
        <w:t>1.</w:t>
      </w:r>
      <w:r w:rsidRPr="005153E8">
        <w:rPr>
          <w:sz w:val="24"/>
          <w:szCs w:val="32"/>
        </w:rPr>
        <w:tab/>
        <w:t>Reading as human life source</w:t>
      </w:r>
    </w:p>
    <w:p w14:paraId="20CC10F9" w14:textId="77777777" w:rsidR="00E809A6" w:rsidRPr="005153E8" w:rsidRDefault="00E809A6" w:rsidP="00E809A6">
      <w:pPr>
        <w:spacing w:after="0" w:line="240" w:lineRule="auto"/>
        <w:rPr>
          <w:sz w:val="24"/>
          <w:szCs w:val="32"/>
        </w:rPr>
      </w:pPr>
      <w:r w:rsidRPr="005153E8">
        <w:rPr>
          <w:sz w:val="24"/>
          <w:szCs w:val="32"/>
        </w:rPr>
        <w:t>2.</w:t>
      </w:r>
      <w:r w:rsidRPr="005153E8">
        <w:rPr>
          <w:sz w:val="24"/>
          <w:szCs w:val="32"/>
        </w:rPr>
        <w:tab/>
        <w:t>A ‘Healthy Reading’</w:t>
      </w:r>
    </w:p>
    <w:p w14:paraId="4FB3E637" w14:textId="77777777" w:rsidR="00E809A6" w:rsidRPr="005153E8" w:rsidRDefault="00E809A6" w:rsidP="00E809A6">
      <w:pPr>
        <w:spacing w:after="0" w:line="240" w:lineRule="auto"/>
        <w:rPr>
          <w:sz w:val="24"/>
          <w:szCs w:val="32"/>
        </w:rPr>
      </w:pPr>
      <w:r w:rsidRPr="005153E8">
        <w:rPr>
          <w:sz w:val="24"/>
          <w:szCs w:val="32"/>
        </w:rPr>
        <w:t>3.</w:t>
      </w:r>
      <w:r w:rsidRPr="005153E8">
        <w:rPr>
          <w:sz w:val="24"/>
          <w:szCs w:val="32"/>
        </w:rPr>
        <w:tab/>
        <w:t>Children’s literature and society</w:t>
      </w:r>
    </w:p>
    <w:p w14:paraId="4393A9F1" w14:textId="77777777" w:rsidR="00E809A6" w:rsidRPr="005153E8" w:rsidRDefault="00E809A6" w:rsidP="00E809A6">
      <w:pPr>
        <w:spacing w:after="0" w:line="240" w:lineRule="auto"/>
        <w:rPr>
          <w:sz w:val="24"/>
          <w:szCs w:val="32"/>
        </w:rPr>
      </w:pPr>
      <w:r w:rsidRPr="005153E8">
        <w:rPr>
          <w:sz w:val="24"/>
          <w:szCs w:val="32"/>
        </w:rPr>
        <w:t>4.</w:t>
      </w:r>
      <w:r w:rsidRPr="005153E8">
        <w:rPr>
          <w:sz w:val="24"/>
          <w:szCs w:val="32"/>
        </w:rPr>
        <w:tab/>
        <w:t>Security and insecurity in Children’s books</w:t>
      </w:r>
    </w:p>
    <w:p w14:paraId="12EB53DA" w14:textId="77777777" w:rsidR="00E809A6" w:rsidRPr="005153E8" w:rsidRDefault="00E809A6" w:rsidP="00E809A6">
      <w:pPr>
        <w:spacing w:after="0" w:line="240" w:lineRule="auto"/>
        <w:rPr>
          <w:sz w:val="24"/>
          <w:szCs w:val="32"/>
        </w:rPr>
      </w:pPr>
      <w:r w:rsidRPr="005153E8">
        <w:rPr>
          <w:sz w:val="24"/>
          <w:szCs w:val="32"/>
        </w:rPr>
        <w:t>5.</w:t>
      </w:r>
      <w:r w:rsidRPr="005153E8">
        <w:rPr>
          <w:sz w:val="24"/>
          <w:szCs w:val="32"/>
        </w:rPr>
        <w:tab/>
        <w:t>Children’s books and social meanings</w:t>
      </w:r>
    </w:p>
    <w:p w14:paraId="68FC88BE" w14:textId="77777777" w:rsidR="00E809A6" w:rsidRPr="005153E8" w:rsidRDefault="00E809A6" w:rsidP="00E809A6">
      <w:pPr>
        <w:spacing w:after="0" w:line="240" w:lineRule="auto"/>
        <w:rPr>
          <w:sz w:val="24"/>
          <w:szCs w:val="32"/>
        </w:rPr>
      </w:pPr>
      <w:r w:rsidRPr="005153E8">
        <w:rPr>
          <w:sz w:val="24"/>
          <w:szCs w:val="32"/>
        </w:rPr>
        <w:t>6.</w:t>
      </w:r>
      <w:r w:rsidRPr="005153E8">
        <w:rPr>
          <w:sz w:val="24"/>
          <w:szCs w:val="32"/>
        </w:rPr>
        <w:tab/>
        <w:t>Children’s Literature as a social learning experience</w:t>
      </w:r>
    </w:p>
    <w:p w14:paraId="3B16C3DB" w14:textId="77777777" w:rsidR="00E809A6" w:rsidRPr="005153E8" w:rsidRDefault="00E809A6" w:rsidP="00E809A6">
      <w:pPr>
        <w:spacing w:after="0" w:line="240" w:lineRule="auto"/>
        <w:rPr>
          <w:sz w:val="24"/>
          <w:szCs w:val="32"/>
        </w:rPr>
      </w:pPr>
      <w:r w:rsidRPr="005153E8">
        <w:rPr>
          <w:sz w:val="24"/>
          <w:szCs w:val="32"/>
        </w:rPr>
        <w:t>7.</w:t>
      </w:r>
      <w:r w:rsidRPr="005153E8">
        <w:rPr>
          <w:sz w:val="24"/>
          <w:szCs w:val="32"/>
        </w:rPr>
        <w:tab/>
        <w:t>Cultural studies in Children’s Literature</w:t>
      </w:r>
    </w:p>
    <w:p w14:paraId="7364726F" w14:textId="77777777" w:rsidR="00E809A6" w:rsidRPr="005153E8" w:rsidRDefault="00E809A6" w:rsidP="00E809A6">
      <w:pPr>
        <w:spacing w:after="0" w:line="240" w:lineRule="auto"/>
        <w:rPr>
          <w:sz w:val="24"/>
          <w:szCs w:val="32"/>
        </w:rPr>
      </w:pPr>
      <w:r w:rsidRPr="005153E8">
        <w:rPr>
          <w:sz w:val="24"/>
          <w:szCs w:val="32"/>
        </w:rPr>
        <w:t>8.</w:t>
      </w:r>
      <w:r w:rsidRPr="005153E8">
        <w:rPr>
          <w:sz w:val="24"/>
          <w:szCs w:val="32"/>
        </w:rPr>
        <w:tab/>
        <w:t xml:space="preserve">Children’s Literature as education </w:t>
      </w:r>
    </w:p>
    <w:p w14:paraId="6F871045" w14:textId="77777777" w:rsidR="00E809A6" w:rsidRPr="005153E8" w:rsidRDefault="00E809A6" w:rsidP="00E809A6">
      <w:pPr>
        <w:spacing w:after="0" w:line="240" w:lineRule="auto"/>
        <w:rPr>
          <w:sz w:val="24"/>
          <w:szCs w:val="32"/>
        </w:rPr>
      </w:pPr>
      <w:r w:rsidRPr="005153E8">
        <w:rPr>
          <w:sz w:val="24"/>
          <w:szCs w:val="32"/>
        </w:rPr>
        <w:t>9.</w:t>
      </w:r>
      <w:r w:rsidRPr="005153E8">
        <w:rPr>
          <w:sz w:val="24"/>
          <w:szCs w:val="32"/>
        </w:rPr>
        <w:tab/>
        <w:t xml:space="preserve">Methods of reading and analyzing the world </w:t>
      </w:r>
    </w:p>
    <w:p w14:paraId="2B882253" w14:textId="77777777" w:rsidR="00E809A6" w:rsidRPr="005153E8" w:rsidRDefault="00E809A6" w:rsidP="00E809A6">
      <w:pPr>
        <w:spacing w:after="0" w:line="240" w:lineRule="auto"/>
        <w:rPr>
          <w:sz w:val="24"/>
          <w:szCs w:val="32"/>
        </w:rPr>
      </w:pPr>
      <w:r w:rsidRPr="005153E8">
        <w:rPr>
          <w:sz w:val="24"/>
          <w:szCs w:val="32"/>
        </w:rPr>
        <w:t>10.</w:t>
      </w:r>
      <w:r w:rsidRPr="005153E8">
        <w:rPr>
          <w:sz w:val="24"/>
          <w:szCs w:val="32"/>
        </w:rPr>
        <w:tab/>
        <w:t xml:space="preserve">Reading as a way of thinking </w:t>
      </w:r>
    </w:p>
    <w:p w14:paraId="20999C5A" w14:textId="77777777" w:rsidR="00E809A6" w:rsidRPr="005153E8" w:rsidRDefault="00E809A6" w:rsidP="00E809A6">
      <w:pPr>
        <w:spacing w:after="0" w:line="240" w:lineRule="auto"/>
        <w:rPr>
          <w:sz w:val="24"/>
          <w:szCs w:val="32"/>
        </w:rPr>
      </w:pPr>
      <w:r w:rsidRPr="005153E8">
        <w:rPr>
          <w:sz w:val="24"/>
          <w:szCs w:val="32"/>
        </w:rPr>
        <w:t>11.</w:t>
      </w:r>
      <w:r w:rsidRPr="005153E8">
        <w:rPr>
          <w:sz w:val="24"/>
          <w:szCs w:val="32"/>
        </w:rPr>
        <w:tab/>
        <w:t>Multiculturalism in Children’s Literature</w:t>
      </w:r>
    </w:p>
    <w:p w14:paraId="400FE623" w14:textId="77777777" w:rsidR="00E809A6" w:rsidRPr="005153E8" w:rsidRDefault="00E809A6" w:rsidP="00E809A6">
      <w:pPr>
        <w:spacing w:after="0" w:line="240" w:lineRule="auto"/>
        <w:rPr>
          <w:sz w:val="24"/>
          <w:szCs w:val="32"/>
        </w:rPr>
      </w:pPr>
      <w:r w:rsidRPr="005153E8">
        <w:rPr>
          <w:sz w:val="24"/>
          <w:szCs w:val="32"/>
        </w:rPr>
        <w:t>12.</w:t>
      </w:r>
      <w:r w:rsidRPr="005153E8">
        <w:rPr>
          <w:sz w:val="24"/>
          <w:szCs w:val="32"/>
        </w:rPr>
        <w:tab/>
        <w:t>Aesthetic approaches to children’s literature</w:t>
      </w:r>
    </w:p>
    <w:p w14:paraId="3CFCA475" w14:textId="77777777" w:rsidR="00E809A6" w:rsidRPr="005153E8" w:rsidRDefault="00E809A6" w:rsidP="00E809A6">
      <w:pPr>
        <w:spacing w:after="0" w:line="240" w:lineRule="auto"/>
        <w:rPr>
          <w:sz w:val="24"/>
          <w:szCs w:val="32"/>
        </w:rPr>
      </w:pPr>
      <w:r w:rsidRPr="005153E8">
        <w:rPr>
          <w:sz w:val="24"/>
          <w:szCs w:val="32"/>
        </w:rPr>
        <w:t>13.</w:t>
      </w:r>
      <w:r w:rsidRPr="005153E8">
        <w:rPr>
          <w:sz w:val="24"/>
          <w:szCs w:val="32"/>
        </w:rPr>
        <w:tab/>
        <w:t xml:space="preserve">Home literacy and formal reading instruction </w:t>
      </w:r>
    </w:p>
    <w:p w14:paraId="433DEAE1" w14:textId="77777777" w:rsidR="00E809A6" w:rsidRPr="005153E8" w:rsidRDefault="00E809A6" w:rsidP="00E809A6">
      <w:pPr>
        <w:spacing w:after="0" w:line="240" w:lineRule="auto"/>
        <w:rPr>
          <w:sz w:val="24"/>
          <w:szCs w:val="32"/>
        </w:rPr>
      </w:pPr>
      <w:r w:rsidRPr="005153E8">
        <w:rPr>
          <w:sz w:val="24"/>
          <w:szCs w:val="32"/>
        </w:rPr>
        <w:t>14.</w:t>
      </w:r>
      <w:r w:rsidRPr="005153E8">
        <w:rPr>
          <w:sz w:val="24"/>
          <w:szCs w:val="32"/>
        </w:rPr>
        <w:tab/>
        <w:t>History and development of Children’s Literature in Thai / Foreign countries</w:t>
      </w:r>
    </w:p>
    <w:p w14:paraId="3968936E" w14:textId="77777777" w:rsidR="00E809A6" w:rsidRPr="005153E8" w:rsidRDefault="00E809A6" w:rsidP="00E809A6">
      <w:pPr>
        <w:spacing w:after="0" w:line="240" w:lineRule="auto"/>
        <w:rPr>
          <w:sz w:val="24"/>
          <w:szCs w:val="32"/>
        </w:rPr>
      </w:pPr>
      <w:r w:rsidRPr="005153E8">
        <w:rPr>
          <w:sz w:val="24"/>
          <w:szCs w:val="32"/>
        </w:rPr>
        <w:t>15.</w:t>
      </w:r>
      <w:r w:rsidRPr="005153E8">
        <w:rPr>
          <w:sz w:val="24"/>
          <w:szCs w:val="32"/>
        </w:rPr>
        <w:tab/>
        <w:t>The local children’s books and the global children’s books</w:t>
      </w:r>
    </w:p>
    <w:p w14:paraId="7BECA6B1" w14:textId="77777777" w:rsidR="00E809A6" w:rsidRPr="005153E8" w:rsidRDefault="00E809A6" w:rsidP="00E809A6">
      <w:pPr>
        <w:spacing w:after="0" w:line="240" w:lineRule="auto"/>
        <w:rPr>
          <w:sz w:val="24"/>
          <w:szCs w:val="32"/>
        </w:rPr>
      </w:pPr>
      <w:r w:rsidRPr="005153E8">
        <w:rPr>
          <w:sz w:val="24"/>
          <w:szCs w:val="32"/>
        </w:rPr>
        <w:lastRenderedPageBreak/>
        <w:t>16.</w:t>
      </w:r>
      <w:r w:rsidRPr="005153E8">
        <w:rPr>
          <w:sz w:val="24"/>
          <w:szCs w:val="32"/>
        </w:rPr>
        <w:tab/>
        <w:t>Technology and Children’s Books / Technology and children life</w:t>
      </w:r>
    </w:p>
    <w:p w14:paraId="40C3DC4C" w14:textId="77777777" w:rsidR="00E809A6" w:rsidRPr="005153E8" w:rsidRDefault="00E809A6" w:rsidP="00E809A6">
      <w:pPr>
        <w:spacing w:after="0" w:line="240" w:lineRule="auto"/>
        <w:rPr>
          <w:sz w:val="24"/>
          <w:szCs w:val="32"/>
        </w:rPr>
      </w:pPr>
      <w:r w:rsidRPr="005153E8">
        <w:rPr>
          <w:sz w:val="24"/>
          <w:szCs w:val="32"/>
        </w:rPr>
        <w:t>17.</w:t>
      </w:r>
      <w:r w:rsidRPr="005153E8">
        <w:rPr>
          <w:sz w:val="24"/>
          <w:szCs w:val="32"/>
        </w:rPr>
        <w:tab/>
        <w:t xml:space="preserve">Private and Public realms in reading books and watching new media </w:t>
      </w:r>
    </w:p>
    <w:p w14:paraId="34E71D29" w14:textId="77777777" w:rsidR="00E809A6" w:rsidRPr="005153E8" w:rsidRDefault="00E809A6" w:rsidP="00E809A6">
      <w:pPr>
        <w:spacing w:after="0" w:line="240" w:lineRule="auto"/>
        <w:rPr>
          <w:sz w:val="24"/>
          <w:szCs w:val="32"/>
        </w:rPr>
      </w:pPr>
      <w:r w:rsidRPr="005153E8">
        <w:rPr>
          <w:sz w:val="24"/>
          <w:szCs w:val="32"/>
        </w:rPr>
        <w:t>18.</w:t>
      </w:r>
      <w:r w:rsidRPr="005153E8">
        <w:rPr>
          <w:sz w:val="24"/>
          <w:szCs w:val="32"/>
        </w:rPr>
        <w:tab/>
        <w:t>Technology in children learning / Children learning about technology</w:t>
      </w:r>
    </w:p>
    <w:p w14:paraId="215687A9" w14:textId="77777777" w:rsidR="00E809A6" w:rsidRPr="005153E8" w:rsidRDefault="00E809A6" w:rsidP="00E809A6">
      <w:pPr>
        <w:spacing w:after="0" w:line="240" w:lineRule="auto"/>
        <w:rPr>
          <w:sz w:val="24"/>
          <w:szCs w:val="32"/>
        </w:rPr>
      </w:pPr>
      <w:r w:rsidRPr="005153E8">
        <w:rPr>
          <w:sz w:val="24"/>
          <w:szCs w:val="32"/>
        </w:rPr>
        <w:t>19.</w:t>
      </w:r>
      <w:r w:rsidRPr="005153E8">
        <w:rPr>
          <w:sz w:val="24"/>
          <w:szCs w:val="32"/>
        </w:rPr>
        <w:tab/>
        <w:t>Information and communication technologies for children</w:t>
      </w:r>
    </w:p>
    <w:p w14:paraId="0F9F291A" w14:textId="77777777" w:rsidR="00E809A6" w:rsidRPr="005153E8" w:rsidRDefault="00E809A6" w:rsidP="00E809A6">
      <w:pPr>
        <w:spacing w:after="0" w:line="240" w:lineRule="auto"/>
        <w:rPr>
          <w:sz w:val="24"/>
          <w:szCs w:val="32"/>
        </w:rPr>
      </w:pPr>
      <w:r w:rsidRPr="005153E8">
        <w:rPr>
          <w:sz w:val="24"/>
          <w:szCs w:val="32"/>
        </w:rPr>
        <w:t>20.</w:t>
      </w:r>
      <w:r w:rsidRPr="005153E8">
        <w:rPr>
          <w:sz w:val="24"/>
          <w:szCs w:val="32"/>
        </w:rPr>
        <w:tab/>
        <w:t>Children perception of the modern world</w:t>
      </w:r>
    </w:p>
    <w:p w14:paraId="67F88197" w14:textId="77777777" w:rsidR="00E809A6" w:rsidRPr="005153E8" w:rsidRDefault="00E809A6" w:rsidP="00E809A6">
      <w:pPr>
        <w:spacing w:after="0" w:line="240" w:lineRule="auto"/>
        <w:rPr>
          <w:sz w:val="24"/>
          <w:szCs w:val="32"/>
        </w:rPr>
      </w:pPr>
      <w:r w:rsidRPr="005153E8">
        <w:rPr>
          <w:sz w:val="24"/>
          <w:szCs w:val="32"/>
        </w:rPr>
        <w:t>21.</w:t>
      </w:r>
      <w:r w:rsidRPr="005153E8">
        <w:rPr>
          <w:sz w:val="24"/>
          <w:szCs w:val="32"/>
        </w:rPr>
        <w:tab/>
        <w:t>Adult model in children’s media</w:t>
      </w:r>
    </w:p>
    <w:p w14:paraId="43907212" w14:textId="77777777" w:rsidR="00E809A6" w:rsidRPr="005153E8" w:rsidRDefault="00E809A6" w:rsidP="00E809A6">
      <w:pPr>
        <w:spacing w:after="0" w:line="240" w:lineRule="auto"/>
        <w:rPr>
          <w:sz w:val="24"/>
          <w:szCs w:val="32"/>
        </w:rPr>
      </w:pPr>
      <w:r w:rsidRPr="005153E8">
        <w:rPr>
          <w:sz w:val="24"/>
          <w:szCs w:val="32"/>
        </w:rPr>
        <w:t>22.</w:t>
      </w:r>
      <w:r w:rsidRPr="005153E8">
        <w:rPr>
          <w:sz w:val="24"/>
          <w:szCs w:val="32"/>
        </w:rPr>
        <w:tab/>
        <w:t>Cautiously critical reading in the digital world</w:t>
      </w:r>
    </w:p>
    <w:p w14:paraId="1774EBD1" w14:textId="77777777" w:rsidR="00E809A6" w:rsidRPr="005153E8" w:rsidRDefault="00E809A6" w:rsidP="00E809A6">
      <w:pPr>
        <w:spacing w:after="0" w:line="240" w:lineRule="auto"/>
        <w:rPr>
          <w:sz w:val="24"/>
          <w:szCs w:val="32"/>
        </w:rPr>
      </w:pPr>
      <w:r w:rsidRPr="005153E8">
        <w:rPr>
          <w:sz w:val="24"/>
          <w:szCs w:val="32"/>
        </w:rPr>
        <w:t>23.</w:t>
      </w:r>
      <w:r w:rsidRPr="005153E8">
        <w:rPr>
          <w:sz w:val="24"/>
          <w:szCs w:val="32"/>
        </w:rPr>
        <w:tab/>
        <w:t>Designing modern books and media for children</w:t>
      </w:r>
    </w:p>
    <w:p w14:paraId="7B876B24" w14:textId="77777777" w:rsidR="00E809A6" w:rsidRPr="005153E8" w:rsidRDefault="00E809A6" w:rsidP="00E809A6">
      <w:pPr>
        <w:spacing w:after="0" w:line="240" w:lineRule="auto"/>
        <w:rPr>
          <w:sz w:val="24"/>
          <w:szCs w:val="32"/>
        </w:rPr>
      </w:pPr>
      <w:r w:rsidRPr="005153E8">
        <w:rPr>
          <w:sz w:val="24"/>
          <w:szCs w:val="32"/>
        </w:rPr>
        <w:t>24.</w:t>
      </w:r>
      <w:r w:rsidRPr="005153E8">
        <w:rPr>
          <w:sz w:val="24"/>
          <w:szCs w:val="32"/>
        </w:rPr>
        <w:tab/>
        <w:t xml:space="preserve">Virtual reality and existing world </w:t>
      </w:r>
    </w:p>
    <w:p w14:paraId="15264974" w14:textId="77777777" w:rsidR="00E809A6" w:rsidRPr="005153E8" w:rsidRDefault="00E809A6" w:rsidP="00E809A6">
      <w:pPr>
        <w:spacing w:after="0" w:line="240" w:lineRule="auto"/>
        <w:rPr>
          <w:sz w:val="24"/>
          <w:szCs w:val="32"/>
        </w:rPr>
      </w:pPr>
      <w:r w:rsidRPr="005153E8">
        <w:rPr>
          <w:sz w:val="24"/>
          <w:szCs w:val="32"/>
        </w:rPr>
        <w:t>25.</w:t>
      </w:r>
      <w:r w:rsidRPr="005153E8">
        <w:rPr>
          <w:sz w:val="24"/>
          <w:szCs w:val="32"/>
        </w:rPr>
        <w:tab/>
        <w:t>New readings of children’s literature</w:t>
      </w:r>
    </w:p>
    <w:p w14:paraId="78DCA6E7" w14:textId="77777777" w:rsidR="00E809A6" w:rsidRPr="005153E8" w:rsidRDefault="00E809A6" w:rsidP="00E809A6">
      <w:pPr>
        <w:spacing w:after="0" w:line="240" w:lineRule="auto"/>
        <w:rPr>
          <w:sz w:val="24"/>
          <w:szCs w:val="32"/>
        </w:rPr>
      </w:pPr>
      <w:r w:rsidRPr="005153E8">
        <w:rPr>
          <w:sz w:val="24"/>
          <w:szCs w:val="32"/>
        </w:rPr>
        <w:t>26.</w:t>
      </w:r>
      <w:r w:rsidRPr="005153E8">
        <w:rPr>
          <w:sz w:val="24"/>
          <w:szCs w:val="32"/>
        </w:rPr>
        <w:tab/>
        <w:t>Re-imaginings of myth, fairy tale, and other traditional stories</w:t>
      </w:r>
    </w:p>
    <w:p w14:paraId="43FBDBDC" w14:textId="77777777" w:rsidR="00E809A6" w:rsidRDefault="00E809A6" w:rsidP="00E809A6">
      <w:pPr>
        <w:rPr>
          <w:sz w:val="24"/>
          <w:szCs w:val="32"/>
        </w:rPr>
      </w:pPr>
    </w:p>
    <w:p w14:paraId="302E6F26" w14:textId="77777777" w:rsidR="00E809A6" w:rsidRPr="005153E8" w:rsidRDefault="00E809A6" w:rsidP="00E809A6">
      <w:pPr>
        <w:rPr>
          <w:sz w:val="24"/>
          <w:szCs w:val="32"/>
        </w:rPr>
      </w:pPr>
      <w:r w:rsidRPr="005153E8">
        <w:rPr>
          <w:sz w:val="24"/>
          <w:szCs w:val="32"/>
        </w:rPr>
        <w:t xml:space="preserve">Abstracts for each proposed paper should be 250-300 words.  A 50-word biography of presenters must accompany each abstract. The deadline for abstract submissions is midnight 31 January 2017 with notification of acceptance before 15 February 2017. Full paper submission is 15 March 2017. </w:t>
      </w:r>
      <w:r w:rsidRPr="005153E8">
        <w:rPr>
          <w:rFonts w:ascii="Arial" w:hAnsi="Arial" w:cs="Arial"/>
          <w:shd w:val="clear" w:color="auto" w:fill="F5F5F5"/>
        </w:rPr>
        <w:br/>
      </w:r>
      <w:r w:rsidRPr="005153E8">
        <w:rPr>
          <w:sz w:val="24"/>
          <w:szCs w:val="32"/>
        </w:rPr>
        <w:t>Send your Abstract Proposal to the Congress Secretariat at ibbyaoric2017@tkpark.or.th. Please write “Abstract Proposal” in your subject heading.</w:t>
      </w:r>
    </w:p>
    <w:p w14:paraId="006AD1AF" w14:textId="77777777" w:rsidR="00E809A6" w:rsidRPr="000A1F6D" w:rsidRDefault="00E809A6" w:rsidP="00E809A6">
      <w:pPr>
        <w:rPr>
          <w:b/>
          <w:bCs/>
          <w:sz w:val="24"/>
          <w:szCs w:val="32"/>
        </w:rPr>
      </w:pPr>
      <w:r w:rsidRPr="000A1F6D">
        <w:rPr>
          <w:b/>
          <w:bCs/>
          <w:sz w:val="24"/>
          <w:szCs w:val="32"/>
        </w:rPr>
        <w:t>Important dates</w:t>
      </w:r>
    </w:p>
    <w:p w14:paraId="1CFAE7FD" w14:textId="77777777" w:rsidR="00E809A6" w:rsidRDefault="003614AB" w:rsidP="00E809A6">
      <w:pPr>
        <w:spacing w:after="0"/>
      </w:pPr>
      <w:r w:rsidRPr="003614AB">
        <w:rPr>
          <w:b/>
          <w:bCs/>
        </w:rPr>
        <w:t>Abstract Submission:</w:t>
      </w:r>
      <w:r w:rsidRPr="003614AB">
        <w:t> </w:t>
      </w:r>
      <w:r w:rsidRPr="003614AB">
        <w:rPr>
          <w:i/>
          <w:iCs/>
        </w:rPr>
        <w:t>November 1, 2016- January 31, 2017</w:t>
      </w:r>
      <w:r w:rsidRPr="003614AB">
        <w:br/>
      </w:r>
      <w:r w:rsidRPr="003614AB">
        <w:rPr>
          <w:b/>
          <w:bCs/>
        </w:rPr>
        <w:t>Notification of Abstract Acceptance:</w:t>
      </w:r>
      <w:r w:rsidRPr="003614AB">
        <w:t> </w:t>
      </w:r>
      <w:r w:rsidRPr="003614AB">
        <w:rPr>
          <w:i/>
          <w:iCs/>
        </w:rPr>
        <w:t>February 15, 2017</w:t>
      </w:r>
      <w:r w:rsidRPr="003614AB">
        <w:br/>
      </w:r>
      <w:r w:rsidRPr="003614AB">
        <w:rPr>
          <w:b/>
          <w:bCs/>
        </w:rPr>
        <w:t>Full Paper Submission:</w:t>
      </w:r>
      <w:r w:rsidRPr="003614AB">
        <w:t> </w:t>
      </w:r>
      <w:r w:rsidRPr="003614AB">
        <w:rPr>
          <w:i/>
          <w:iCs/>
        </w:rPr>
        <w:t>March 15, 2017</w:t>
      </w:r>
      <w:r w:rsidRPr="003614AB">
        <w:br/>
      </w:r>
      <w:r w:rsidRPr="003614AB">
        <w:rPr>
          <w:b/>
          <w:bCs/>
        </w:rPr>
        <w:t>Notification of Full Paper Acceptance:</w:t>
      </w:r>
      <w:r w:rsidRPr="003614AB">
        <w:t> </w:t>
      </w:r>
      <w:r w:rsidRPr="003614AB">
        <w:rPr>
          <w:i/>
          <w:iCs/>
        </w:rPr>
        <w:t>March 31, 2017</w:t>
      </w:r>
      <w:r w:rsidR="00E809A6">
        <w:t xml:space="preserve"> </w:t>
      </w:r>
    </w:p>
    <w:p w14:paraId="60A29E57" w14:textId="77777777" w:rsidR="00E809A6" w:rsidRDefault="00E809A6" w:rsidP="00E809A6">
      <w:pPr>
        <w:spacing w:after="0"/>
        <w:rPr>
          <w:rStyle w:val="Hyperlink"/>
        </w:rPr>
      </w:pPr>
      <w:r w:rsidRPr="001F6C3D">
        <w:t>To discuss any matter relating to this Call for Papers, please</w:t>
      </w:r>
      <w:r>
        <w:t xml:space="preserve"> email </w:t>
      </w:r>
      <w:hyperlink r:id="rId9" w:history="1">
        <w:r w:rsidRPr="00106122">
          <w:rPr>
            <w:rStyle w:val="Hyperlink"/>
          </w:rPr>
          <w:t>ibbyaoric2017@tkpark.or.th</w:t>
        </w:r>
      </w:hyperlink>
    </w:p>
    <w:p w14:paraId="59A1553F" w14:textId="77777777" w:rsidR="00E809A6" w:rsidRDefault="00E809A6" w:rsidP="00E809A6">
      <w:pPr>
        <w:spacing w:after="0"/>
      </w:pPr>
    </w:p>
    <w:p w14:paraId="1D5027C2" w14:textId="77777777" w:rsidR="00E809A6" w:rsidRPr="00E809A6" w:rsidRDefault="00E809A6" w:rsidP="00E809A6">
      <w:pPr>
        <w:rPr>
          <w:b/>
          <w:bCs/>
        </w:rPr>
      </w:pPr>
      <w:r w:rsidRPr="00E809A6">
        <w:rPr>
          <w:b/>
          <w:bCs/>
        </w:rPr>
        <w:t>Registration Fees</w:t>
      </w:r>
    </w:p>
    <w:tbl>
      <w:tblPr>
        <w:tblStyle w:val="TableGrid"/>
        <w:tblW w:w="0" w:type="auto"/>
        <w:tblLook w:val="04A0" w:firstRow="1" w:lastRow="0" w:firstColumn="1" w:lastColumn="0" w:noHBand="0" w:noVBand="1"/>
      </w:tblPr>
      <w:tblGrid>
        <w:gridCol w:w="3936"/>
        <w:gridCol w:w="2976"/>
        <w:gridCol w:w="2330"/>
      </w:tblGrid>
      <w:tr w:rsidR="00E809A6" w14:paraId="35534112" w14:textId="77777777" w:rsidTr="000B555A">
        <w:tc>
          <w:tcPr>
            <w:tcW w:w="3936" w:type="dxa"/>
          </w:tcPr>
          <w:p w14:paraId="2711F719" w14:textId="77777777" w:rsidR="00E809A6" w:rsidRDefault="00E809A6" w:rsidP="000B555A"/>
        </w:tc>
        <w:tc>
          <w:tcPr>
            <w:tcW w:w="2976" w:type="dxa"/>
          </w:tcPr>
          <w:p w14:paraId="774147B4" w14:textId="77777777" w:rsidR="00E809A6" w:rsidRDefault="00E809A6" w:rsidP="000B555A">
            <w:r>
              <w:t xml:space="preserve">  Early (by February 28, 2017)</w:t>
            </w:r>
          </w:p>
        </w:tc>
        <w:tc>
          <w:tcPr>
            <w:tcW w:w="2330" w:type="dxa"/>
          </w:tcPr>
          <w:p w14:paraId="1E68CB7D" w14:textId="77777777" w:rsidR="00E809A6" w:rsidRDefault="00E809A6" w:rsidP="000B555A">
            <w:r>
              <w:t>Regular</w:t>
            </w:r>
          </w:p>
        </w:tc>
      </w:tr>
      <w:tr w:rsidR="00E809A6" w14:paraId="376A787C" w14:textId="77777777" w:rsidTr="000B555A">
        <w:tc>
          <w:tcPr>
            <w:tcW w:w="3936" w:type="dxa"/>
          </w:tcPr>
          <w:p w14:paraId="55F40E07" w14:textId="77777777" w:rsidR="00E809A6" w:rsidRDefault="00E809A6" w:rsidP="000B555A">
            <w:r>
              <w:t>General Delegates</w:t>
            </w:r>
          </w:p>
        </w:tc>
        <w:tc>
          <w:tcPr>
            <w:tcW w:w="2976" w:type="dxa"/>
          </w:tcPr>
          <w:p w14:paraId="0ECB0F1E" w14:textId="77777777" w:rsidR="00E809A6" w:rsidRDefault="00E809A6" w:rsidP="000B555A">
            <w:r>
              <w:t xml:space="preserve">US$200 </w:t>
            </w:r>
          </w:p>
        </w:tc>
        <w:tc>
          <w:tcPr>
            <w:tcW w:w="2330" w:type="dxa"/>
          </w:tcPr>
          <w:p w14:paraId="1F0FACF2" w14:textId="77777777" w:rsidR="00E809A6" w:rsidRDefault="00E809A6" w:rsidP="000B555A">
            <w:r>
              <w:t>US$250</w:t>
            </w:r>
          </w:p>
        </w:tc>
      </w:tr>
      <w:tr w:rsidR="00E809A6" w14:paraId="73E2F46D" w14:textId="77777777" w:rsidTr="000B555A">
        <w:tc>
          <w:tcPr>
            <w:tcW w:w="3936" w:type="dxa"/>
          </w:tcPr>
          <w:p w14:paraId="0A9D0C36" w14:textId="77777777" w:rsidR="00E809A6" w:rsidRDefault="00E809A6" w:rsidP="000B555A">
            <w:r>
              <w:t>Students</w:t>
            </w:r>
          </w:p>
        </w:tc>
        <w:tc>
          <w:tcPr>
            <w:tcW w:w="2976" w:type="dxa"/>
          </w:tcPr>
          <w:p w14:paraId="45EA1AF4" w14:textId="77777777" w:rsidR="00E809A6" w:rsidRDefault="00E809A6" w:rsidP="000B555A">
            <w:r>
              <w:t>US$100</w:t>
            </w:r>
          </w:p>
        </w:tc>
        <w:tc>
          <w:tcPr>
            <w:tcW w:w="2330" w:type="dxa"/>
          </w:tcPr>
          <w:p w14:paraId="4118EA57" w14:textId="77777777" w:rsidR="00E809A6" w:rsidRDefault="00E809A6" w:rsidP="000B555A">
            <w:r>
              <w:t>US$100</w:t>
            </w:r>
          </w:p>
        </w:tc>
      </w:tr>
      <w:tr w:rsidR="00E809A6" w14:paraId="2857945A" w14:textId="77777777" w:rsidTr="000B555A">
        <w:tc>
          <w:tcPr>
            <w:tcW w:w="3936" w:type="dxa"/>
          </w:tcPr>
          <w:p w14:paraId="64C7FE38" w14:textId="77777777" w:rsidR="00E809A6" w:rsidRDefault="00E809A6" w:rsidP="000B555A">
            <w:r>
              <w:t>Spouse/guest</w:t>
            </w:r>
          </w:p>
        </w:tc>
        <w:tc>
          <w:tcPr>
            <w:tcW w:w="2976" w:type="dxa"/>
          </w:tcPr>
          <w:p w14:paraId="677097A9" w14:textId="77777777" w:rsidR="00E809A6" w:rsidRDefault="00E809A6" w:rsidP="000B555A">
            <w:r>
              <w:t>US$100</w:t>
            </w:r>
          </w:p>
        </w:tc>
        <w:tc>
          <w:tcPr>
            <w:tcW w:w="2330" w:type="dxa"/>
          </w:tcPr>
          <w:p w14:paraId="65772F1F" w14:textId="77777777" w:rsidR="00E809A6" w:rsidRDefault="00E809A6" w:rsidP="000B555A">
            <w:r>
              <w:t>US$100</w:t>
            </w:r>
          </w:p>
        </w:tc>
      </w:tr>
      <w:tr w:rsidR="00E809A6" w14:paraId="52B448FE" w14:textId="77777777" w:rsidTr="000B555A">
        <w:tc>
          <w:tcPr>
            <w:tcW w:w="3936" w:type="dxa"/>
          </w:tcPr>
          <w:p w14:paraId="42E2FD3D" w14:textId="77777777" w:rsidR="00E809A6" w:rsidRDefault="00E809A6" w:rsidP="000B555A">
            <w:r>
              <w:t>Thai Delegates</w:t>
            </w:r>
          </w:p>
        </w:tc>
        <w:tc>
          <w:tcPr>
            <w:tcW w:w="2976" w:type="dxa"/>
          </w:tcPr>
          <w:p w14:paraId="1919DE03" w14:textId="77777777" w:rsidR="00E809A6" w:rsidRDefault="00E809A6" w:rsidP="000B555A">
            <w:r>
              <w:t>US$50</w:t>
            </w:r>
          </w:p>
        </w:tc>
        <w:tc>
          <w:tcPr>
            <w:tcW w:w="2330" w:type="dxa"/>
          </w:tcPr>
          <w:p w14:paraId="1066CC32" w14:textId="77777777" w:rsidR="00E809A6" w:rsidRDefault="00E809A6" w:rsidP="000B555A">
            <w:r>
              <w:t>US$50</w:t>
            </w:r>
          </w:p>
        </w:tc>
      </w:tr>
    </w:tbl>
    <w:p w14:paraId="69612644" w14:textId="77777777" w:rsidR="00E809A6" w:rsidRDefault="00E809A6" w:rsidP="00E809A6"/>
    <w:p w14:paraId="4F05F16B" w14:textId="77777777" w:rsidR="00D5181E" w:rsidRDefault="00E809A6">
      <w:r>
        <w:t xml:space="preserve">For more details, please visit our website </w:t>
      </w:r>
      <w:hyperlink r:id="rId10" w:history="1">
        <w:r w:rsidRPr="00CA44A9">
          <w:rPr>
            <w:rStyle w:val="Hyperlink"/>
          </w:rPr>
          <w:t>http://ibbyaoric2017.tkpark.or.th/</w:t>
        </w:r>
      </w:hyperlink>
      <w:r>
        <w:t xml:space="preserve"> and follow us on Facebook page </w:t>
      </w:r>
      <w:r w:rsidRPr="005153E8">
        <w:t>https://www.facebook.com/IBBYAORIC2017/</w:t>
      </w:r>
      <w:bookmarkStart w:id="0" w:name="_GoBack"/>
      <w:bookmarkEnd w:id="0"/>
    </w:p>
    <w:sectPr w:rsidR="00D5181E" w:rsidSect="00E809A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46A1" w14:textId="77777777" w:rsidR="00043734" w:rsidRDefault="00043734" w:rsidP="009172FA">
      <w:pPr>
        <w:spacing w:after="0" w:line="240" w:lineRule="auto"/>
      </w:pPr>
      <w:r>
        <w:separator/>
      </w:r>
    </w:p>
  </w:endnote>
  <w:endnote w:type="continuationSeparator" w:id="0">
    <w:p w14:paraId="0417D806" w14:textId="77777777" w:rsidR="00043734" w:rsidRDefault="00043734" w:rsidP="009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0606" w14:textId="77777777" w:rsidR="00E830B5" w:rsidRDefault="00E830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CE6A" w14:textId="77777777" w:rsidR="00445491" w:rsidRDefault="00037C73" w:rsidP="00445491">
    <w:pPr>
      <w:pStyle w:val="Footer"/>
      <w:jc w:val="center"/>
    </w:pPr>
    <w:r>
      <w:rPr>
        <w:noProof/>
        <w:lang w:bidi="ar-SA"/>
      </w:rPr>
      <w:drawing>
        <wp:inline distT="0" distB="0" distL="0" distR="0" wp14:anchorId="7389BA47" wp14:editId="05BC1960">
          <wp:extent cx="7559040" cy="1115568"/>
          <wp:effectExtent l="0" t="0" r="3810" b="8890"/>
          <wp:docPr id="22"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115568"/>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50CC" w14:textId="77777777" w:rsidR="00E830B5" w:rsidRDefault="00E830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B733C" w14:textId="77777777" w:rsidR="00043734" w:rsidRDefault="00043734" w:rsidP="009172FA">
      <w:pPr>
        <w:spacing w:after="0" w:line="240" w:lineRule="auto"/>
      </w:pPr>
      <w:r>
        <w:separator/>
      </w:r>
    </w:p>
  </w:footnote>
  <w:footnote w:type="continuationSeparator" w:id="0">
    <w:p w14:paraId="380011A2" w14:textId="77777777" w:rsidR="00043734" w:rsidRDefault="00043734" w:rsidP="009172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66C9" w14:textId="77777777" w:rsidR="00E830B5" w:rsidRDefault="00E830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BBA9" w14:textId="77777777" w:rsidR="00445491" w:rsidRDefault="00037C73" w:rsidP="00445491">
    <w:pPr>
      <w:pStyle w:val="Header"/>
      <w:jc w:val="center"/>
    </w:pPr>
    <w:r>
      <w:rPr>
        <w:noProof/>
        <w:lang w:bidi="ar-SA"/>
      </w:rPr>
      <w:drawing>
        <wp:inline distT="0" distB="0" distL="0" distR="0" wp14:anchorId="64C7E650" wp14:editId="63DB6A4B">
          <wp:extent cx="7559040" cy="966216"/>
          <wp:effectExtent l="0" t="0" r="3810" b="5715"/>
          <wp:docPr id="21" name="รูปภาพ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_color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96621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7CAB" w14:textId="77777777" w:rsidR="00E830B5" w:rsidRDefault="00E83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FA"/>
    <w:rsid w:val="0001525B"/>
    <w:rsid w:val="00037C73"/>
    <w:rsid w:val="00043734"/>
    <w:rsid w:val="00293C87"/>
    <w:rsid w:val="003614AB"/>
    <w:rsid w:val="00445491"/>
    <w:rsid w:val="008F1F5C"/>
    <w:rsid w:val="009172FA"/>
    <w:rsid w:val="00940816"/>
    <w:rsid w:val="00B752D9"/>
    <w:rsid w:val="00C55B8A"/>
    <w:rsid w:val="00C73DD2"/>
    <w:rsid w:val="00E809A6"/>
    <w:rsid w:val="00E830B5"/>
    <w:rsid w:val="00F5082D"/>
    <w:rsid w:val="00F8344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A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FA"/>
  </w:style>
  <w:style w:type="paragraph" w:styleId="Footer">
    <w:name w:val="footer"/>
    <w:basedOn w:val="Normal"/>
    <w:link w:val="FooterChar"/>
    <w:uiPriority w:val="99"/>
    <w:unhideWhenUsed/>
    <w:rsid w:val="00917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FA"/>
  </w:style>
  <w:style w:type="paragraph" w:styleId="BalloonText">
    <w:name w:val="Balloon Text"/>
    <w:basedOn w:val="Normal"/>
    <w:link w:val="BalloonTextChar"/>
    <w:uiPriority w:val="99"/>
    <w:semiHidden/>
    <w:unhideWhenUsed/>
    <w:rsid w:val="0001525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525B"/>
    <w:rPr>
      <w:rFonts w:ascii="Tahoma" w:hAnsi="Tahoma" w:cs="Angsana New"/>
      <w:sz w:val="16"/>
      <w:szCs w:val="20"/>
    </w:rPr>
  </w:style>
  <w:style w:type="character" w:styleId="Hyperlink">
    <w:name w:val="Hyperlink"/>
    <w:basedOn w:val="DefaultParagraphFont"/>
    <w:uiPriority w:val="99"/>
    <w:unhideWhenUsed/>
    <w:rsid w:val="00E809A6"/>
    <w:rPr>
      <w:color w:val="0563C1" w:themeColor="hyperlink"/>
      <w:u w:val="single"/>
    </w:rPr>
  </w:style>
  <w:style w:type="table" w:styleId="TableGrid">
    <w:name w:val="Table Grid"/>
    <w:basedOn w:val="TableNormal"/>
    <w:uiPriority w:val="59"/>
    <w:rsid w:val="00E80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2FA"/>
  </w:style>
  <w:style w:type="paragraph" w:styleId="Footer">
    <w:name w:val="footer"/>
    <w:basedOn w:val="Normal"/>
    <w:link w:val="FooterChar"/>
    <w:uiPriority w:val="99"/>
    <w:unhideWhenUsed/>
    <w:rsid w:val="00917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2FA"/>
  </w:style>
  <w:style w:type="paragraph" w:styleId="BalloonText">
    <w:name w:val="Balloon Text"/>
    <w:basedOn w:val="Normal"/>
    <w:link w:val="BalloonTextChar"/>
    <w:uiPriority w:val="99"/>
    <w:semiHidden/>
    <w:unhideWhenUsed/>
    <w:rsid w:val="0001525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525B"/>
    <w:rPr>
      <w:rFonts w:ascii="Tahoma" w:hAnsi="Tahoma" w:cs="Angsana New"/>
      <w:sz w:val="16"/>
      <w:szCs w:val="20"/>
    </w:rPr>
  </w:style>
  <w:style w:type="character" w:styleId="Hyperlink">
    <w:name w:val="Hyperlink"/>
    <w:basedOn w:val="DefaultParagraphFont"/>
    <w:uiPriority w:val="99"/>
    <w:unhideWhenUsed/>
    <w:rsid w:val="00E809A6"/>
    <w:rPr>
      <w:color w:val="0563C1" w:themeColor="hyperlink"/>
      <w:u w:val="single"/>
    </w:rPr>
  </w:style>
  <w:style w:type="table" w:styleId="TableGrid">
    <w:name w:val="Table Grid"/>
    <w:basedOn w:val="TableNormal"/>
    <w:uiPriority w:val="59"/>
    <w:rsid w:val="00E80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bbyaoric2017.tkpark.or.th/" TargetMode="External"/><Relationship Id="rId9" Type="http://schemas.openxmlformats.org/officeDocument/2006/relationships/hyperlink" Target="mailto:ibbyaoric2017@tkpark.or.th" TargetMode="External"/><Relationship Id="rId10" Type="http://schemas.openxmlformats.org/officeDocument/2006/relationships/hyperlink" Target="http://ibbyaoric2017.tkpark.or.t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6E49-9794-2343-826C-79A6E647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3439</Characters>
  <Application>Microsoft Macintosh Word</Application>
  <DocSecurity>0</DocSecurity>
  <Lines>28</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Supaporn Wongniyom (สุ)</dc:creator>
  <cp:lastModifiedBy>ibby</cp:lastModifiedBy>
  <cp:revision>4</cp:revision>
  <dcterms:created xsi:type="dcterms:W3CDTF">2016-12-17T14:43:00Z</dcterms:created>
  <dcterms:modified xsi:type="dcterms:W3CDTF">2016-12-22T12:20:00Z</dcterms:modified>
</cp:coreProperties>
</file>